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08" w:rsidRPr="00E43C08" w:rsidRDefault="00E43C08" w:rsidP="00E43C08">
      <w:pPr>
        <w:autoSpaceDE w:val="0"/>
        <w:autoSpaceDN w:val="0"/>
        <w:adjustRightInd w:val="0"/>
        <w:jc w:val="center"/>
        <w:rPr>
          <w:rFonts w:ascii="Century" w:eastAsia="ＭＳ 明朝" w:hAnsi="Century" w:cs="ＭＳ 明朝"/>
          <w:kern w:val="0"/>
          <w:sz w:val="24"/>
          <w:szCs w:val="24"/>
          <w:lang w:val="ja-JP"/>
        </w:rPr>
      </w:pPr>
      <w:bookmarkStart w:id="0" w:name="_GoBack"/>
      <w:bookmarkEnd w:id="0"/>
      <w:r w:rsidRPr="00E43C08">
        <w:rPr>
          <w:rFonts w:ascii="Century" w:eastAsia="ＭＳ 明朝" w:hAnsi="Century" w:cs="ＭＳ 明朝" w:hint="eastAsia"/>
          <w:kern w:val="0"/>
          <w:sz w:val="24"/>
          <w:szCs w:val="24"/>
          <w:lang w:val="ja-JP"/>
        </w:rPr>
        <w:t>中国オンラインゲーム企業の設立と発展</w:t>
      </w:r>
    </w:p>
    <w:p w:rsidR="00E43C08" w:rsidRPr="00A64632" w:rsidRDefault="00E43C08" w:rsidP="00E43C08">
      <w:pPr>
        <w:autoSpaceDE w:val="0"/>
        <w:autoSpaceDN w:val="0"/>
        <w:adjustRightInd w:val="0"/>
        <w:jc w:val="center"/>
        <w:rPr>
          <w:rFonts w:ascii="Century" w:eastAsia="ＭＳ 明朝" w:hAnsi="Century" w:cs="ＭＳ 明朝"/>
          <w:kern w:val="0"/>
          <w:sz w:val="24"/>
          <w:szCs w:val="24"/>
          <w:lang w:val="ja-JP"/>
        </w:rPr>
      </w:pPr>
      <w:r w:rsidRPr="00A64632">
        <w:rPr>
          <w:rFonts w:ascii="Century" w:eastAsia="ＭＳ 明朝" w:hAnsi="Century" w:cs="ＭＳ 明朝" w:hint="eastAsia"/>
          <w:kern w:val="0"/>
          <w:sz w:val="24"/>
          <w:szCs w:val="24"/>
          <w:lang w:val="ja-JP"/>
        </w:rPr>
        <w:t>－</w:t>
      </w:r>
      <w:r w:rsidRPr="00E43C08">
        <w:rPr>
          <w:rFonts w:ascii="Century" w:eastAsia="ＭＳ 明朝" w:hAnsi="Century" w:cs="ＭＳ 明朝" w:hint="eastAsia"/>
          <w:kern w:val="0"/>
          <w:sz w:val="24"/>
          <w:szCs w:val="24"/>
          <w:lang w:val="ja-JP"/>
        </w:rPr>
        <w:t>盛大社に焦点をあてて</w:t>
      </w:r>
      <w:r w:rsidRPr="00A64632">
        <w:rPr>
          <w:rFonts w:ascii="Century" w:eastAsia="ＭＳ 明朝" w:hAnsi="Century" w:cs="ＭＳ 明朝" w:hint="eastAsia"/>
          <w:kern w:val="0"/>
          <w:sz w:val="24"/>
          <w:szCs w:val="24"/>
          <w:lang w:val="ja-JP"/>
        </w:rPr>
        <w:t>－</w:t>
      </w:r>
    </w:p>
    <w:p w:rsidR="00E43C08" w:rsidRDefault="00E43C08" w:rsidP="00E43C08">
      <w:pPr>
        <w:autoSpaceDE w:val="0"/>
        <w:autoSpaceDN w:val="0"/>
        <w:adjustRightInd w:val="0"/>
        <w:jc w:val="center"/>
        <w:rPr>
          <w:rFonts w:ascii="Century" w:eastAsia="ＭＳ 明朝" w:hAnsi="Century" w:cs="ＭＳ 明朝"/>
          <w:kern w:val="0"/>
          <w:sz w:val="28"/>
          <w:szCs w:val="28"/>
          <w:lang w:val="ja-JP"/>
        </w:rPr>
      </w:pPr>
    </w:p>
    <w:p w:rsidR="00E43C08" w:rsidRPr="00E43C08" w:rsidRDefault="006F3F3F" w:rsidP="00E43C08">
      <w:pPr>
        <w:autoSpaceDE w:val="0"/>
        <w:autoSpaceDN w:val="0"/>
        <w:adjustRightInd w:val="0"/>
        <w:jc w:val="center"/>
        <w:rPr>
          <w:rFonts w:ascii="Century" w:eastAsia="ＭＳ 明朝" w:hAnsi="Century" w:cs="Times New Roman"/>
          <w:kern w:val="0"/>
          <w:szCs w:val="21"/>
          <w:lang w:eastAsia="zh-CN"/>
        </w:rPr>
      </w:pPr>
      <w:r>
        <w:rPr>
          <w:rFonts w:ascii="Century" w:eastAsia="ＭＳ 明朝" w:hAnsi="Century" w:cs="ＭＳ 明朝" w:hint="eastAsia"/>
          <w:kern w:val="0"/>
          <w:sz w:val="28"/>
          <w:szCs w:val="28"/>
          <w:lang w:val="ja-JP"/>
        </w:rPr>
        <w:t xml:space="preserve">　　　　　　　　　</w:t>
      </w:r>
      <w:r w:rsidR="00E43C08" w:rsidRPr="00E43C08">
        <w:rPr>
          <w:rFonts w:ascii="Century" w:eastAsia="ＭＳ 明朝" w:hAnsi="Century" w:cs="ＭＳ 明朝" w:hint="eastAsia"/>
          <w:kern w:val="0"/>
          <w:szCs w:val="21"/>
          <w:lang w:val="ja-JP" w:eastAsia="zh-CN"/>
        </w:rPr>
        <w:t>関西大学大学院</w:t>
      </w:r>
      <w:r>
        <w:rPr>
          <w:rFonts w:ascii="Century" w:eastAsia="ＭＳ 明朝" w:hAnsi="Century" w:cs="ＭＳ 明朝" w:hint="eastAsia"/>
          <w:kern w:val="0"/>
          <w:szCs w:val="21"/>
          <w:lang w:val="ja-JP" w:eastAsia="zh-CN"/>
        </w:rPr>
        <w:t>社会学研究科博士課程後期課程</w:t>
      </w:r>
      <w:r w:rsidR="00E43C08">
        <w:rPr>
          <w:rFonts w:ascii="Century" w:eastAsia="ＭＳ 明朝" w:hAnsi="Century" w:cs="ＭＳ 明朝" w:hint="eastAsia"/>
          <w:kern w:val="0"/>
          <w:szCs w:val="21"/>
          <w:lang w:val="ja-JP" w:eastAsia="zh-CN"/>
        </w:rPr>
        <w:t xml:space="preserve">　　　</w:t>
      </w:r>
      <w:r w:rsidR="00E43C08" w:rsidRPr="00E43C08">
        <w:rPr>
          <w:rFonts w:ascii="Century" w:eastAsia="ＭＳ 明朝" w:hAnsi="Century" w:cs="ＭＳ 明朝" w:hint="eastAsia"/>
          <w:kern w:val="0"/>
          <w:szCs w:val="21"/>
          <w:lang w:val="ja-JP" w:eastAsia="zh-CN"/>
        </w:rPr>
        <w:t>林宏偉</w:t>
      </w:r>
    </w:p>
    <w:p w:rsidR="00703C69" w:rsidRPr="00E43C08" w:rsidRDefault="00703C69" w:rsidP="00703C69">
      <w:pPr>
        <w:autoSpaceDE w:val="0"/>
        <w:autoSpaceDN w:val="0"/>
        <w:adjustRightInd w:val="0"/>
        <w:rPr>
          <w:rFonts w:ascii="Century" w:eastAsia="ＭＳ 明朝" w:hAnsi="Century" w:cs="SimSun"/>
          <w:kern w:val="0"/>
          <w:szCs w:val="21"/>
          <w:lang w:eastAsia="zh-CN"/>
        </w:rPr>
      </w:pPr>
    </w:p>
    <w:p w:rsidR="00703C69" w:rsidRPr="00703C69" w:rsidRDefault="00703C69" w:rsidP="00703C69">
      <w:pPr>
        <w:autoSpaceDE w:val="0"/>
        <w:autoSpaceDN w:val="0"/>
        <w:adjustRightInd w:val="0"/>
        <w:rPr>
          <w:rFonts w:ascii="Century" w:eastAsia="ＭＳ 明朝" w:hAnsi="Century" w:cs="SimSun"/>
          <w:b/>
          <w:kern w:val="0"/>
          <w:szCs w:val="21"/>
          <w:lang w:val="ja-JP"/>
        </w:rPr>
      </w:pPr>
      <w:r w:rsidRPr="00703C69">
        <w:rPr>
          <w:rFonts w:ascii="Century" w:eastAsia="ＭＳ 明朝" w:hAnsi="Century" w:cs="SimSun" w:hint="eastAsia"/>
          <w:b/>
          <w:kern w:val="0"/>
          <w:szCs w:val="21"/>
          <w:lang w:val="ja-JP"/>
        </w:rPr>
        <w:t>1</w:t>
      </w:r>
      <w:r w:rsidRPr="00703C69">
        <w:rPr>
          <w:rFonts w:ascii="Century" w:eastAsia="ＭＳ 明朝" w:hAnsi="Century" w:cs="SimSun" w:hint="eastAsia"/>
          <w:b/>
          <w:kern w:val="0"/>
          <w:szCs w:val="21"/>
          <w:lang w:val="ja-JP"/>
        </w:rPr>
        <w:t>．研究背景</w:t>
      </w:r>
    </w:p>
    <w:p w:rsidR="00703C69" w:rsidRPr="00703C69" w:rsidRDefault="00703C69" w:rsidP="00703C69">
      <w:pPr>
        <w:autoSpaceDE w:val="0"/>
        <w:autoSpaceDN w:val="0"/>
        <w:adjustRightInd w:val="0"/>
        <w:ind w:firstLineChars="100" w:firstLine="213"/>
        <w:rPr>
          <w:rFonts w:ascii="Century" w:eastAsia="ＭＳ 明朝" w:hAnsi="Century" w:cs="ＭＳ 明朝"/>
          <w:kern w:val="0"/>
          <w:szCs w:val="21"/>
          <w:lang w:val="ja-JP"/>
        </w:rPr>
      </w:pPr>
      <w:r w:rsidRPr="00703C69">
        <w:rPr>
          <w:rFonts w:ascii="Century" w:eastAsia="ＭＳ 明朝" w:hAnsi="Century" w:cs="SimSun" w:hint="eastAsia"/>
          <w:kern w:val="0"/>
          <w:szCs w:val="21"/>
          <w:lang w:val="ja-JP"/>
        </w:rPr>
        <w:t>19</w:t>
      </w:r>
      <w:r w:rsidRPr="00703C69">
        <w:rPr>
          <w:rFonts w:ascii="Century" w:eastAsia="ＭＳ 明朝" w:hAnsi="Century" w:cs="ＭＳ 明朝"/>
          <w:kern w:val="0"/>
          <w:szCs w:val="21"/>
          <w:lang w:val="ja-JP"/>
        </w:rPr>
        <w:t>90</w:t>
      </w:r>
      <w:r w:rsidRPr="00703C69">
        <w:rPr>
          <w:rFonts w:ascii="Century" w:eastAsia="ＭＳ 明朝" w:hAnsi="Century" w:cs="ＭＳ 明朝" w:hint="eastAsia"/>
          <w:kern w:val="0"/>
          <w:szCs w:val="21"/>
          <w:lang w:val="ja-JP"/>
        </w:rPr>
        <w:t>年代の後半、中国のゲーム産業には大きな変化を起きた。従来のパソコンゲーム市場が縮小し、オンラインゲームの市場が急速に拡大した。一部のインターネット関連企業は、このチャンスをつかんで、わずか</w:t>
      </w:r>
      <w:r w:rsidR="00467DB5">
        <w:rPr>
          <w:rFonts w:ascii="Century" w:eastAsia="ＭＳ 明朝" w:hAnsi="Century" w:cs="ＭＳ 明朝" w:hint="eastAsia"/>
          <w:kern w:val="0"/>
          <w:szCs w:val="21"/>
          <w:lang w:val="ja-JP"/>
        </w:rPr>
        <w:t>4</w:t>
      </w:r>
      <w:r w:rsidR="00FA181D">
        <w:rPr>
          <w:rFonts w:ascii="Century" w:eastAsia="ＭＳ 明朝" w:hAnsi="Century" w:cs="ＭＳ 明朝" w:hint="eastAsia"/>
          <w:kern w:val="0"/>
          <w:szCs w:val="21"/>
          <w:lang w:val="ja-JP"/>
        </w:rPr>
        <w:t>、</w:t>
      </w:r>
      <w:r w:rsidR="00467DB5">
        <w:rPr>
          <w:rFonts w:ascii="Century" w:eastAsia="ＭＳ 明朝" w:hAnsi="Century" w:cs="ＭＳ 明朝" w:hint="eastAsia"/>
          <w:kern w:val="0"/>
          <w:szCs w:val="21"/>
          <w:lang w:val="ja-JP"/>
        </w:rPr>
        <w:t>5</w:t>
      </w:r>
      <w:r w:rsidRPr="00703C69">
        <w:rPr>
          <w:rFonts w:ascii="Century" w:eastAsia="ＭＳ 明朝" w:hAnsi="Century" w:cs="ＭＳ 明朝" w:hint="eastAsia"/>
          <w:kern w:val="0"/>
          <w:szCs w:val="21"/>
          <w:lang w:val="ja-JP"/>
        </w:rPr>
        <w:t>年の間に、巨大企業へと成長してきた。その中でも、盛大網絡という会社の発展は特徴的である。倒産寸前の小さなネット企業が、韓国のゲーム企業の開発したゲームを中国で販売し、その成功によって成長していく。アメリカでの</w:t>
      </w:r>
      <w:r w:rsidRPr="00703C69">
        <w:rPr>
          <w:rFonts w:ascii="Century" w:eastAsia="ＭＳ 明朝" w:hAnsi="Century" w:cs="ＭＳ 明朝" w:hint="eastAsia"/>
          <w:kern w:val="0"/>
          <w:szCs w:val="21"/>
          <w:lang w:val="ja-JP"/>
        </w:rPr>
        <w:t>IPO</w:t>
      </w:r>
      <w:r w:rsidRPr="00703C69">
        <w:rPr>
          <w:rFonts w:ascii="Century" w:eastAsia="ＭＳ 明朝" w:hAnsi="Century" w:cs="ＭＳ 明朝" w:hint="eastAsia"/>
          <w:kern w:val="0"/>
          <w:szCs w:val="21"/>
          <w:lang w:val="ja-JP"/>
        </w:rPr>
        <w:t>の成功によって巨額の資金を調達し、最終的には、提携関係にあった韓国のゲーム企業を買収してしまうのである。さらに、つぎつぎに関連企業を買収し、ゲームの開発能力をつけるとともに、ネット小説やテレビ、映画にも進出していく。中国経済の成長が、このような企業を生み出したと言えるだろう。</w:t>
      </w:r>
    </w:p>
    <w:p w:rsidR="00703C69" w:rsidRDefault="00703C69" w:rsidP="00703C69">
      <w:pPr>
        <w:autoSpaceDE w:val="0"/>
        <w:autoSpaceDN w:val="0"/>
        <w:adjustRightInd w:val="0"/>
        <w:ind w:firstLineChars="100" w:firstLine="213"/>
        <w:rPr>
          <w:rFonts w:ascii="Century" w:eastAsia="ＭＳ 明朝" w:hAnsi="Century" w:cs="ＭＳ 明朝"/>
          <w:kern w:val="0"/>
          <w:szCs w:val="21"/>
          <w:lang w:val="ja-JP"/>
        </w:rPr>
      </w:pPr>
      <w:r w:rsidRPr="00703C69">
        <w:rPr>
          <w:rFonts w:ascii="Century" w:eastAsia="ＭＳ 明朝" w:hAnsi="Century" w:cs="ＭＳ 明朝" w:hint="eastAsia"/>
          <w:kern w:val="0"/>
          <w:szCs w:val="21"/>
          <w:lang w:val="ja-JP"/>
        </w:rPr>
        <w:t>しかし、オンラインゲーム市場において、盛大は勝ち続けることができなかった。テンセント社は、インターネットの</w:t>
      </w:r>
      <w:r w:rsidRPr="00703C69">
        <w:rPr>
          <w:rFonts w:ascii="Century" w:eastAsia="ＭＳ 明朝" w:hAnsi="Century" w:cs="ＭＳ 明朝" w:hint="eastAsia"/>
          <w:kern w:val="0"/>
          <w:szCs w:val="21"/>
          <w:lang w:val="ja-JP"/>
        </w:rPr>
        <w:t>SNS</w:t>
      </w:r>
      <w:r w:rsidRPr="00703C69">
        <w:rPr>
          <w:rFonts w:ascii="Century" w:eastAsia="ＭＳ 明朝" w:hAnsi="Century" w:cs="ＭＳ 明朝" w:hint="eastAsia"/>
          <w:kern w:val="0"/>
          <w:szCs w:val="21"/>
          <w:lang w:val="ja-JP"/>
        </w:rPr>
        <w:t>で圧倒的なシェアを占めていることを武器にして、ネットゲーム市場に参入し、ついに盛大を抜いてナンバー</w:t>
      </w:r>
      <w:r w:rsidRPr="00703C69">
        <w:rPr>
          <w:rFonts w:ascii="Century" w:eastAsia="ＭＳ 明朝" w:hAnsi="Century" w:cs="ＭＳ 明朝" w:hint="eastAsia"/>
          <w:kern w:val="0"/>
          <w:szCs w:val="21"/>
          <w:lang w:val="ja-JP"/>
        </w:rPr>
        <w:t>1</w:t>
      </w:r>
      <w:r w:rsidRPr="00703C69">
        <w:rPr>
          <w:rFonts w:ascii="Century" w:eastAsia="ＭＳ 明朝" w:hAnsi="Century" w:cs="ＭＳ 明朝" w:hint="eastAsia"/>
          <w:kern w:val="0"/>
          <w:szCs w:val="21"/>
          <w:lang w:val="ja-JP"/>
        </w:rPr>
        <w:t>になることに成功した。また、オリジナルなゲームの開発能力をもつネットイース社も、中国のユーザーの嗜好にあった中国の歴史をテーマにしたゲームの提供、ユーザーにフレンドリーなサービスなどによって、盛大を抜き、ナンバー</w:t>
      </w:r>
      <w:r w:rsidRPr="00703C69">
        <w:rPr>
          <w:rFonts w:ascii="Century" w:eastAsia="ＭＳ 明朝" w:hAnsi="Century" w:cs="ＭＳ 明朝" w:hint="eastAsia"/>
          <w:kern w:val="0"/>
          <w:szCs w:val="21"/>
          <w:lang w:val="ja-JP"/>
        </w:rPr>
        <w:t>2</w:t>
      </w:r>
      <w:r w:rsidRPr="00703C69">
        <w:rPr>
          <w:rFonts w:ascii="Century" w:eastAsia="ＭＳ 明朝" w:hAnsi="Century" w:cs="ＭＳ 明朝" w:hint="eastAsia"/>
          <w:kern w:val="0"/>
          <w:szCs w:val="21"/>
          <w:lang w:val="ja-JP"/>
        </w:rPr>
        <w:t>に躍進した。</w:t>
      </w:r>
    </w:p>
    <w:p w:rsidR="00703C69" w:rsidRDefault="00703C69" w:rsidP="00703C69">
      <w:pPr>
        <w:autoSpaceDE w:val="0"/>
        <w:autoSpaceDN w:val="0"/>
        <w:adjustRightInd w:val="0"/>
        <w:ind w:firstLineChars="100" w:firstLine="213"/>
        <w:rPr>
          <w:rFonts w:ascii="Century" w:eastAsia="ＭＳ 明朝" w:hAnsi="Century" w:cs="ＭＳ 明朝"/>
          <w:kern w:val="0"/>
          <w:szCs w:val="21"/>
          <w:lang w:val="ja-JP"/>
        </w:rPr>
      </w:pPr>
    </w:p>
    <w:p w:rsidR="00703C69" w:rsidRPr="00703C69" w:rsidRDefault="00703C69" w:rsidP="00703C69">
      <w:pPr>
        <w:autoSpaceDE w:val="0"/>
        <w:autoSpaceDN w:val="0"/>
        <w:adjustRightInd w:val="0"/>
        <w:rPr>
          <w:rFonts w:ascii="Century" w:eastAsia="ＭＳ 明朝" w:hAnsi="Century" w:cs="ＭＳ 明朝"/>
          <w:b/>
          <w:kern w:val="0"/>
          <w:szCs w:val="21"/>
          <w:lang w:val="ja-JP"/>
        </w:rPr>
      </w:pPr>
      <w:r w:rsidRPr="00703C69">
        <w:rPr>
          <w:rFonts w:ascii="Century" w:eastAsia="ＭＳ 明朝" w:hAnsi="Century" w:cs="ＭＳ 明朝" w:hint="eastAsia"/>
          <w:b/>
          <w:kern w:val="0"/>
          <w:szCs w:val="21"/>
          <w:lang w:val="ja-JP"/>
        </w:rPr>
        <w:t xml:space="preserve">2. </w:t>
      </w:r>
      <w:r w:rsidRPr="00703C69">
        <w:rPr>
          <w:rFonts w:ascii="Century" w:eastAsia="ＭＳ 明朝" w:hAnsi="Century" w:cs="ＭＳ 明朝" w:hint="eastAsia"/>
          <w:b/>
          <w:kern w:val="0"/>
          <w:szCs w:val="21"/>
          <w:lang w:val="ja-JP"/>
        </w:rPr>
        <w:t>報告</w:t>
      </w:r>
      <w:r w:rsidR="009E3942">
        <w:rPr>
          <w:rFonts w:ascii="Century" w:eastAsia="ＭＳ 明朝" w:hAnsi="Century" w:cs="ＭＳ 明朝" w:hint="eastAsia"/>
          <w:b/>
          <w:kern w:val="0"/>
          <w:szCs w:val="21"/>
          <w:lang w:val="ja-JP"/>
        </w:rPr>
        <w:t>の</w:t>
      </w:r>
      <w:r w:rsidRPr="00703C69">
        <w:rPr>
          <w:rFonts w:ascii="Century" w:eastAsia="ＭＳ 明朝" w:hAnsi="Century" w:cs="ＭＳ 明朝" w:hint="eastAsia"/>
          <w:b/>
          <w:kern w:val="0"/>
          <w:szCs w:val="21"/>
          <w:lang w:val="ja-JP"/>
        </w:rPr>
        <w:t>概要</w:t>
      </w:r>
    </w:p>
    <w:p w:rsidR="00703C69" w:rsidRPr="00703C69" w:rsidRDefault="00703C69" w:rsidP="00703C69">
      <w:pPr>
        <w:autoSpaceDE w:val="0"/>
        <w:autoSpaceDN w:val="0"/>
        <w:adjustRightInd w:val="0"/>
        <w:ind w:firstLineChars="100" w:firstLine="213"/>
        <w:rPr>
          <w:rFonts w:ascii="Century" w:eastAsia="ＭＳ 明朝" w:hAnsi="Century" w:cs="Times New Roman"/>
          <w:kern w:val="0"/>
          <w:szCs w:val="21"/>
        </w:rPr>
      </w:pPr>
      <w:r>
        <w:rPr>
          <w:rFonts w:ascii="Century" w:eastAsia="ＭＳ 明朝" w:hAnsi="Century" w:cs="ＭＳ 明朝" w:hint="eastAsia"/>
          <w:kern w:val="0"/>
          <w:szCs w:val="21"/>
          <w:lang w:val="ja-JP"/>
        </w:rPr>
        <w:t>本報告の目的</w:t>
      </w:r>
      <w:r w:rsidRPr="00703C69">
        <w:rPr>
          <w:rFonts w:ascii="Century" w:eastAsia="ＭＳ 明朝" w:hAnsi="Century" w:cs="ＭＳ 明朝" w:hint="eastAsia"/>
          <w:kern w:val="0"/>
          <w:szCs w:val="21"/>
          <w:lang w:val="ja-JP"/>
        </w:rPr>
        <w:t>は、盛大の設立と発展、そしてその失敗の過程を考察することを通して、中国のオンラインゲーム市場の特徴とゲーム企業の盛衰の要因を分析してい</w:t>
      </w:r>
      <w:r w:rsidR="006F3F3F">
        <w:rPr>
          <w:rFonts w:ascii="Century" w:eastAsia="ＭＳ 明朝" w:hAnsi="Century" w:cs="ＭＳ 明朝" w:hint="eastAsia"/>
          <w:kern w:val="0"/>
          <w:szCs w:val="21"/>
          <w:lang w:val="ja-JP"/>
        </w:rPr>
        <w:t>くことである</w:t>
      </w:r>
      <w:r w:rsidRPr="00703C69">
        <w:rPr>
          <w:rFonts w:ascii="Century" w:eastAsia="ＭＳ 明朝" w:hAnsi="Century" w:cs="ＭＳ 明朝" w:hint="eastAsia"/>
          <w:kern w:val="0"/>
          <w:szCs w:val="21"/>
          <w:lang w:val="ja-JP"/>
        </w:rPr>
        <w:t>。</w:t>
      </w:r>
    </w:p>
    <w:p w:rsidR="00467DB5" w:rsidRPr="00703C69" w:rsidRDefault="00703C69" w:rsidP="00703C69">
      <w:pPr>
        <w:autoSpaceDE w:val="0"/>
        <w:autoSpaceDN w:val="0"/>
        <w:adjustRightInd w:val="0"/>
        <w:rPr>
          <w:rFonts w:ascii="Century" w:eastAsia="ＭＳ 明朝" w:hAnsi="Century" w:cs="Times New Roman"/>
          <w:kern w:val="0"/>
          <w:szCs w:val="21"/>
        </w:rPr>
      </w:pPr>
      <w:r w:rsidRPr="00703C69">
        <w:rPr>
          <w:rFonts w:ascii="Century" w:eastAsia="ＭＳ 明朝" w:hAnsi="Century" w:cs="Times New Roman" w:hint="eastAsia"/>
          <w:kern w:val="0"/>
          <w:szCs w:val="21"/>
        </w:rPr>
        <w:t xml:space="preserve">　まず、</w:t>
      </w:r>
      <w:r w:rsidRPr="00703C69">
        <w:rPr>
          <w:rFonts w:ascii="Century" w:eastAsia="ＭＳ 明朝" w:hAnsi="Century" w:cs="Times New Roman" w:hint="eastAsia"/>
          <w:kern w:val="0"/>
          <w:szCs w:val="21"/>
        </w:rPr>
        <w:t>1990</w:t>
      </w:r>
      <w:r w:rsidRPr="00703C69">
        <w:rPr>
          <w:rFonts w:ascii="Century" w:eastAsia="ＭＳ 明朝" w:hAnsi="Century" w:cs="Times New Roman" w:hint="eastAsia"/>
          <w:kern w:val="0"/>
          <w:szCs w:val="21"/>
        </w:rPr>
        <w:t>年代に、なぜ中国のゲーム市場、ゲーム産業が急速に発展したのかを韓国企業との関係を通して考察する。</w:t>
      </w:r>
      <w:r w:rsidR="009E3942">
        <w:rPr>
          <w:rFonts w:ascii="Century" w:eastAsia="ＭＳ 明朝" w:hAnsi="Century" w:cs="Times New Roman" w:hint="eastAsia"/>
          <w:kern w:val="0"/>
          <w:szCs w:val="21"/>
        </w:rPr>
        <w:t>次に</w:t>
      </w:r>
      <w:r w:rsidRPr="00703C69">
        <w:rPr>
          <w:rFonts w:ascii="Century" w:eastAsia="ＭＳ 明朝" w:hAnsi="Century" w:cs="Times New Roman" w:hint="eastAsia"/>
          <w:kern w:val="0"/>
          <w:szCs w:val="21"/>
        </w:rPr>
        <w:t>、韓国企業の開発したゲームを中国語化して成功した盛大社の発展の過程とその理由、さらに、それが失敗していく原因についても分析する。</w:t>
      </w:r>
      <w:r w:rsidR="006F3F3F">
        <w:rPr>
          <w:rFonts w:ascii="Century" w:eastAsia="ＭＳ 明朝" w:hAnsi="Century" w:cs="Times New Roman" w:hint="eastAsia"/>
          <w:kern w:val="0"/>
          <w:szCs w:val="21"/>
        </w:rPr>
        <w:t>また</w:t>
      </w:r>
      <w:r w:rsidRPr="00703C69">
        <w:rPr>
          <w:rFonts w:ascii="Century" w:eastAsia="ＭＳ 明朝" w:hAnsi="Century" w:cs="Times New Roman" w:hint="eastAsia"/>
          <w:kern w:val="0"/>
          <w:szCs w:val="21"/>
        </w:rPr>
        <w:t>、盛大に代わって躍進したテンセントとネットイース社について、なぜ成功したのかを検討していく。</w:t>
      </w:r>
    </w:p>
    <w:p w:rsidR="009A1886" w:rsidRDefault="00467DB5">
      <w:pPr>
        <w:rPr>
          <w:b/>
        </w:rPr>
      </w:pPr>
      <w:r w:rsidRPr="00467DB5">
        <w:rPr>
          <w:rFonts w:hint="eastAsia"/>
          <w:b/>
        </w:rPr>
        <w:lastRenderedPageBreak/>
        <w:t>3.</w:t>
      </w:r>
      <w:r w:rsidRPr="00467DB5">
        <w:rPr>
          <w:rFonts w:hint="eastAsia"/>
          <w:b/>
        </w:rPr>
        <w:t xml:space="preserve">　結論</w:t>
      </w:r>
    </w:p>
    <w:p w:rsidR="00467DB5" w:rsidRPr="00467DB5" w:rsidRDefault="00E43C08" w:rsidP="00E43C08">
      <w:pPr>
        <w:autoSpaceDE w:val="0"/>
        <w:autoSpaceDN w:val="0"/>
        <w:adjustRightInd w:val="0"/>
        <w:ind w:firstLineChars="100" w:firstLine="213"/>
        <w:rPr>
          <w:rFonts w:ascii="Century" w:eastAsia="ＭＳ 明朝" w:hAnsi="Century" w:cs="ＭＳ 明朝"/>
          <w:kern w:val="0"/>
          <w:szCs w:val="21"/>
          <w:lang w:val="ja-JP"/>
        </w:rPr>
      </w:pPr>
      <w:r>
        <w:rPr>
          <w:rFonts w:ascii="Century" w:eastAsia="ＭＳ 明朝" w:hAnsi="Century" w:cs="ＭＳ 明朝" w:hint="eastAsia"/>
          <w:kern w:val="0"/>
          <w:szCs w:val="21"/>
        </w:rPr>
        <w:t>本報告</w:t>
      </w:r>
      <w:r w:rsidR="00467DB5" w:rsidRPr="00467DB5">
        <w:rPr>
          <w:rFonts w:ascii="Century" w:eastAsia="ＭＳ 明朝" w:hAnsi="Century" w:cs="ＭＳ 明朝" w:hint="eastAsia"/>
          <w:kern w:val="0"/>
          <w:szCs w:val="21"/>
          <w:lang w:val="ja-JP"/>
        </w:rPr>
        <w:t>では、盛大社、テンセント社、ネットイース社の発展過程をみてきたが、</w:t>
      </w:r>
      <w:r w:rsidR="00467DB5" w:rsidRPr="00467DB5">
        <w:rPr>
          <w:rFonts w:ascii="Century" w:eastAsia="ＭＳ 明朝" w:hAnsi="Century" w:cs="ＭＳ 明朝" w:hint="eastAsia"/>
          <w:kern w:val="0"/>
          <w:szCs w:val="21"/>
          <w:lang w:val="ja-JP"/>
        </w:rPr>
        <w:t>3</w:t>
      </w:r>
      <w:r w:rsidR="00467DB5" w:rsidRPr="00467DB5">
        <w:rPr>
          <w:rFonts w:ascii="Century" w:eastAsia="ＭＳ 明朝" w:hAnsi="Century" w:cs="ＭＳ 明朝" w:hint="eastAsia"/>
          <w:kern w:val="0"/>
          <w:szCs w:val="21"/>
          <w:lang w:val="ja-JP"/>
        </w:rPr>
        <w:t>社の発展には、それぞれ</w:t>
      </w:r>
      <w:r w:rsidR="00A64632">
        <w:rPr>
          <w:rFonts w:ascii="Century" w:eastAsia="ＭＳ 明朝" w:hAnsi="Century" w:cs="ＭＳ 明朝" w:hint="eastAsia"/>
          <w:kern w:val="0"/>
          <w:szCs w:val="21"/>
          <w:lang w:val="ja-JP"/>
        </w:rPr>
        <w:t>特色があり、また収益構造もかなり異なっていること</w:t>
      </w:r>
      <w:r w:rsidR="006F3F3F">
        <w:rPr>
          <w:rFonts w:ascii="Century" w:eastAsia="ＭＳ 明朝" w:hAnsi="Century" w:cs="ＭＳ 明朝" w:hint="eastAsia"/>
          <w:kern w:val="0"/>
          <w:szCs w:val="21"/>
          <w:lang w:val="ja-JP"/>
        </w:rPr>
        <w:t>わかる</w:t>
      </w:r>
      <w:r w:rsidR="00467DB5" w:rsidRPr="00467DB5">
        <w:rPr>
          <w:rFonts w:ascii="Century" w:eastAsia="ＭＳ 明朝" w:hAnsi="Century" w:cs="ＭＳ 明朝" w:hint="eastAsia"/>
          <w:kern w:val="0"/>
          <w:szCs w:val="21"/>
          <w:lang w:val="ja-JP"/>
        </w:rPr>
        <w:t>。</w:t>
      </w:r>
    </w:p>
    <w:p w:rsidR="00467DB5" w:rsidRPr="00467DB5" w:rsidRDefault="00467DB5" w:rsidP="00467DB5">
      <w:pPr>
        <w:autoSpaceDE w:val="0"/>
        <w:autoSpaceDN w:val="0"/>
        <w:adjustRightInd w:val="0"/>
        <w:ind w:firstLineChars="100" w:firstLine="213"/>
        <w:rPr>
          <w:rFonts w:ascii="Century" w:eastAsia="ＭＳ 明朝" w:hAnsi="Century" w:cs="ＭＳ 明朝"/>
          <w:kern w:val="0"/>
          <w:szCs w:val="21"/>
          <w:lang w:val="ja-JP"/>
        </w:rPr>
      </w:pPr>
      <w:r w:rsidRPr="00467DB5">
        <w:rPr>
          <w:rFonts w:ascii="Century" w:eastAsia="ＭＳ 明朝" w:hAnsi="Century" w:cs="ＭＳ 明朝" w:hint="eastAsia"/>
          <w:kern w:val="0"/>
          <w:szCs w:val="21"/>
          <w:lang w:val="ja-JP"/>
        </w:rPr>
        <w:t>盛大社の場合、まず韓国からオンラインゲームを輸入し、それを中国語化し発売・運営</w:t>
      </w:r>
      <w:r w:rsidR="006F3F3F">
        <w:rPr>
          <w:rFonts w:ascii="Century" w:eastAsia="ＭＳ 明朝" w:hAnsi="Century" w:cs="ＭＳ 明朝" w:hint="eastAsia"/>
          <w:kern w:val="0"/>
          <w:szCs w:val="21"/>
          <w:lang w:val="ja-JP"/>
        </w:rPr>
        <w:t>した</w:t>
      </w:r>
      <w:r w:rsidRPr="00467DB5">
        <w:rPr>
          <w:rFonts w:ascii="Century" w:eastAsia="ＭＳ 明朝" w:hAnsi="Century" w:cs="ＭＳ 明朝" w:hint="eastAsia"/>
          <w:kern w:val="0"/>
          <w:szCs w:val="21"/>
          <w:lang w:val="ja-JP"/>
        </w:rPr>
        <w:t>。そして、売上が急成長してから、上場を達成している。その後は、関連する企業を次々に買収して、事業を拡大</w:t>
      </w:r>
      <w:r w:rsidR="006F3F3F">
        <w:rPr>
          <w:rFonts w:ascii="Century" w:eastAsia="ＭＳ 明朝" w:hAnsi="Century" w:cs="ＭＳ 明朝" w:hint="eastAsia"/>
          <w:kern w:val="0"/>
          <w:szCs w:val="21"/>
          <w:lang w:val="ja-JP"/>
        </w:rPr>
        <w:t>し、同時に</w:t>
      </w:r>
      <w:r w:rsidRPr="00467DB5">
        <w:rPr>
          <w:rFonts w:ascii="Century" w:eastAsia="ＭＳ 明朝" w:hAnsi="Century" w:cs="ＭＳ 明朝" w:hint="eastAsia"/>
          <w:kern w:val="0"/>
          <w:szCs w:val="21"/>
          <w:lang w:val="ja-JP"/>
        </w:rPr>
        <w:t>自社の弱い部分を補完している。そして、最後に会社内部の業務を統合・整理する</w:t>
      </w:r>
      <w:r w:rsidR="006F3F3F">
        <w:rPr>
          <w:rFonts w:ascii="Century" w:eastAsia="ＭＳ 明朝" w:hAnsi="Century" w:cs="ＭＳ 明朝" w:hint="eastAsia"/>
          <w:kern w:val="0"/>
          <w:szCs w:val="21"/>
          <w:lang w:val="ja-JP"/>
        </w:rPr>
        <w:t>というプロセスを経ている</w:t>
      </w:r>
      <w:r w:rsidRPr="00467DB5">
        <w:rPr>
          <w:rFonts w:ascii="Century" w:eastAsia="ＭＳ 明朝" w:hAnsi="Century" w:cs="ＭＳ 明朝" w:hint="eastAsia"/>
          <w:kern w:val="0"/>
          <w:szCs w:val="21"/>
          <w:lang w:val="ja-JP"/>
        </w:rPr>
        <w:t>。</w:t>
      </w:r>
    </w:p>
    <w:p w:rsidR="00467DB5" w:rsidRPr="00467DB5" w:rsidRDefault="00467DB5" w:rsidP="00467DB5">
      <w:pPr>
        <w:autoSpaceDE w:val="0"/>
        <w:autoSpaceDN w:val="0"/>
        <w:adjustRightInd w:val="0"/>
        <w:rPr>
          <w:rFonts w:ascii="Century" w:eastAsia="ＭＳ 明朝" w:hAnsi="Century" w:cs="ＭＳ 明朝"/>
          <w:kern w:val="0"/>
          <w:szCs w:val="21"/>
          <w:lang w:val="ja-JP"/>
        </w:rPr>
      </w:pPr>
      <w:r w:rsidRPr="00467DB5">
        <w:rPr>
          <w:rFonts w:ascii="Century" w:eastAsia="ＭＳ 明朝" w:hAnsi="Century" w:cs="ＭＳ 明朝" w:hint="eastAsia"/>
          <w:kern w:val="0"/>
          <w:szCs w:val="21"/>
          <w:lang w:val="ja-JP"/>
        </w:rPr>
        <w:t xml:space="preserve">　</w:t>
      </w:r>
      <w:r w:rsidR="006F3F3F">
        <w:rPr>
          <w:rFonts w:ascii="Century" w:eastAsia="ＭＳ 明朝" w:hAnsi="Century" w:cs="ＭＳ 明朝" w:hint="eastAsia"/>
          <w:kern w:val="0"/>
          <w:szCs w:val="21"/>
          <w:lang w:val="ja-JP"/>
        </w:rPr>
        <w:t>一方、</w:t>
      </w:r>
      <w:r w:rsidRPr="00467DB5">
        <w:rPr>
          <w:rFonts w:ascii="Century" w:eastAsia="ＭＳ 明朝" w:hAnsi="Century" w:cs="ＭＳ 明朝" w:hint="eastAsia"/>
          <w:kern w:val="0"/>
          <w:szCs w:val="21"/>
          <w:lang w:val="ja-JP"/>
        </w:rPr>
        <w:t>テンセント社は、通信アプリで人気を集め、上場してから、オンラインゲームに参入した。盛大社と同じように韓国からゲームを輸入し、それを中国化し、経験を積み重ねながら、自社の開発能力を向上させてきた。</w:t>
      </w:r>
    </w:p>
    <w:p w:rsidR="00467DB5" w:rsidRDefault="00467DB5" w:rsidP="00467DB5">
      <w:pPr>
        <w:autoSpaceDE w:val="0"/>
        <w:autoSpaceDN w:val="0"/>
        <w:adjustRightInd w:val="0"/>
        <w:rPr>
          <w:rFonts w:ascii="Century" w:eastAsia="ＭＳ 明朝" w:hAnsi="Century" w:cs="ＭＳ 明朝"/>
          <w:kern w:val="0"/>
          <w:szCs w:val="21"/>
          <w:lang w:val="ja-JP"/>
        </w:rPr>
      </w:pPr>
      <w:r w:rsidRPr="00467DB5">
        <w:rPr>
          <w:rFonts w:ascii="Century" w:eastAsia="ＭＳ 明朝" w:hAnsi="Century" w:cs="ＭＳ 明朝" w:hint="eastAsia"/>
          <w:kern w:val="0"/>
          <w:szCs w:val="21"/>
          <w:lang w:val="ja-JP"/>
        </w:rPr>
        <w:t xml:space="preserve">　ネットイース社は、資金調達を行い、ゲームの自社開発に乗り出した。国外のゲームを輸入せずに、自社の開発能力</w:t>
      </w:r>
      <w:r w:rsidR="006F3F3F">
        <w:rPr>
          <w:rFonts w:ascii="Century" w:eastAsia="ＭＳ 明朝" w:hAnsi="Century" w:cs="ＭＳ 明朝" w:hint="eastAsia"/>
          <w:kern w:val="0"/>
          <w:szCs w:val="21"/>
          <w:lang w:val="ja-JP"/>
        </w:rPr>
        <w:t>の向上を</w:t>
      </w:r>
      <w:r w:rsidRPr="00467DB5">
        <w:rPr>
          <w:rFonts w:ascii="Century" w:eastAsia="ＭＳ 明朝" w:hAnsi="Century" w:cs="ＭＳ 明朝" w:hint="eastAsia"/>
          <w:kern w:val="0"/>
          <w:szCs w:val="21"/>
          <w:lang w:val="ja-JP"/>
        </w:rPr>
        <w:t>重視し、発展してきた。</w:t>
      </w:r>
      <w:r w:rsidR="006F3F3F">
        <w:rPr>
          <w:rFonts w:ascii="Century" w:eastAsia="ＭＳ 明朝" w:hAnsi="Century" w:cs="ＭＳ 明朝" w:hint="eastAsia"/>
          <w:kern w:val="0"/>
          <w:szCs w:val="21"/>
          <w:lang w:val="ja-JP"/>
        </w:rPr>
        <w:t>そして、中国市場を意識した独自のゲームを開発した。</w:t>
      </w:r>
      <w:r w:rsidRPr="00467DB5">
        <w:rPr>
          <w:rFonts w:ascii="Century" w:eastAsia="ＭＳ 明朝" w:hAnsi="Century" w:cs="ＭＳ 明朝" w:hint="eastAsia"/>
          <w:kern w:val="0"/>
          <w:szCs w:val="21"/>
          <w:lang w:val="ja-JP"/>
        </w:rPr>
        <w:t>近年になって、外国のゲームを触れて、提携しながら、国外市場へ進出しはじめた。</w:t>
      </w:r>
    </w:p>
    <w:p w:rsidR="006F3F3F" w:rsidRPr="00467DB5" w:rsidRDefault="006F3F3F" w:rsidP="00467DB5">
      <w:pPr>
        <w:autoSpaceDE w:val="0"/>
        <w:autoSpaceDN w:val="0"/>
        <w:adjustRightInd w:val="0"/>
        <w:rPr>
          <w:rFonts w:ascii="Century" w:eastAsia="ＭＳ 明朝" w:hAnsi="Century" w:cs="ＭＳ 明朝"/>
          <w:kern w:val="0"/>
          <w:szCs w:val="21"/>
          <w:lang w:val="ja-JP"/>
        </w:rPr>
      </w:pPr>
      <w:r>
        <w:rPr>
          <w:rFonts w:ascii="Century" w:eastAsia="ＭＳ 明朝" w:hAnsi="Century" w:cs="ＭＳ 明朝" w:hint="eastAsia"/>
          <w:kern w:val="0"/>
          <w:szCs w:val="21"/>
          <w:lang w:val="ja-JP"/>
        </w:rPr>
        <w:t xml:space="preserve">　</w:t>
      </w:r>
    </w:p>
    <w:p w:rsidR="00467DB5" w:rsidRDefault="00467DB5" w:rsidP="00A64632">
      <w:pPr>
        <w:autoSpaceDE w:val="0"/>
        <w:autoSpaceDN w:val="0"/>
        <w:adjustRightInd w:val="0"/>
        <w:rPr>
          <w:rFonts w:ascii="Century" w:eastAsia="ＭＳ 明朝" w:hAnsi="Century" w:cs="ＭＳ 明朝"/>
          <w:kern w:val="0"/>
          <w:szCs w:val="21"/>
          <w:lang w:val="ja-JP"/>
        </w:rPr>
      </w:pPr>
    </w:p>
    <w:p w:rsidR="00A64632" w:rsidRDefault="00A64632" w:rsidP="006F3F3F">
      <w:pPr>
        <w:autoSpaceDE w:val="0"/>
        <w:autoSpaceDN w:val="0"/>
        <w:adjustRightInd w:val="0"/>
        <w:rPr>
          <w:rFonts w:ascii="Century" w:eastAsia="ＭＳ 明朝" w:hAnsi="Century" w:cs="ＭＳ 明朝"/>
          <w:kern w:val="0"/>
          <w:szCs w:val="21"/>
          <w:lang w:val="ja-JP"/>
        </w:rPr>
      </w:pPr>
      <w:r>
        <w:rPr>
          <w:rFonts w:ascii="Century" w:eastAsia="ＭＳ 明朝" w:hAnsi="Century" w:cs="ＭＳ 明朝" w:hint="eastAsia"/>
          <w:kern w:val="0"/>
          <w:szCs w:val="21"/>
          <w:lang w:val="ja-JP"/>
        </w:rPr>
        <w:t>参考文献</w:t>
      </w:r>
    </w:p>
    <w:p w:rsidR="00A64632" w:rsidRPr="00A64632" w:rsidRDefault="00A64632" w:rsidP="006F3F3F">
      <w:pPr>
        <w:snapToGrid w:val="0"/>
        <w:jc w:val="left"/>
        <w:rPr>
          <w:rFonts w:ascii="Century" w:eastAsia="ＭＳ 明朝" w:hAnsi="Century" w:cs="Times New Roman"/>
          <w:color w:val="333333"/>
          <w:szCs w:val="21"/>
        </w:rPr>
      </w:pPr>
      <w:r w:rsidRPr="00A64632">
        <w:rPr>
          <w:rFonts w:ascii="Century" w:eastAsia="ＭＳ 明朝" w:hAnsi="Century" w:cs="Times New Roman" w:hint="eastAsia"/>
          <w:color w:val="333333"/>
          <w:szCs w:val="21"/>
        </w:rPr>
        <w:t>日本語文献</w:t>
      </w:r>
    </w:p>
    <w:p w:rsidR="00A64632" w:rsidRPr="00A64632" w:rsidRDefault="00A64632" w:rsidP="006F3F3F">
      <w:pPr>
        <w:snapToGrid w:val="0"/>
        <w:jc w:val="left"/>
        <w:rPr>
          <w:rFonts w:ascii="Century" w:eastAsia="ＭＳ 明朝" w:hAnsi="Century" w:cs="Times New Roman"/>
          <w:color w:val="333333"/>
          <w:szCs w:val="21"/>
        </w:rPr>
      </w:pPr>
    </w:p>
    <w:p w:rsidR="00A64632" w:rsidRPr="00A64632" w:rsidRDefault="00A64632" w:rsidP="006F3F3F">
      <w:pPr>
        <w:snapToGrid w:val="0"/>
        <w:ind w:leftChars="1" w:left="425" w:hangingChars="199" w:hanging="423"/>
        <w:jc w:val="left"/>
        <w:rPr>
          <w:rFonts w:ascii="ＭＳ 明朝" w:eastAsia="ＭＳ 明朝" w:hAnsi="ＭＳ 明朝" w:cs="Times New Roman"/>
          <w:color w:val="333333"/>
          <w:szCs w:val="21"/>
        </w:rPr>
      </w:pPr>
      <w:r w:rsidRPr="00A64632">
        <w:rPr>
          <w:rFonts w:ascii="ＭＳ 明朝" w:eastAsia="ＭＳ 明朝" w:hAnsi="ＭＳ 明朝" w:cs="Times New Roman" w:hint="eastAsia"/>
          <w:szCs w:val="21"/>
        </w:rPr>
        <w:t xml:space="preserve">高橋哲郎「韓国ベンチャー企業の特徴と地方化推進戦略」、『現代韓国経済　進化するパラダイム』日本評論社　</w:t>
      </w:r>
      <w:r w:rsidRPr="00A64632">
        <w:rPr>
          <w:rFonts w:ascii="Century" w:eastAsia="ＭＳ 明朝" w:hAnsi="Century" w:cs="Times New Roman"/>
          <w:szCs w:val="21"/>
        </w:rPr>
        <w:t>2005</w:t>
      </w:r>
      <w:r w:rsidRPr="00A64632">
        <w:rPr>
          <w:rFonts w:ascii="ＭＳ 明朝" w:eastAsia="ＭＳ 明朝" w:hAnsi="ＭＳ 明朝" w:cs="Times New Roman" w:hint="eastAsia"/>
          <w:szCs w:val="21"/>
        </w:rPr>
        <w:t>年</w:t>
      </w:r>
      <w:r w:rsidR="006531F8">
        <w:rPr>
          <w:rFonts w:ascii="ＭＳ 明朝" w:eastAsia="ＭＳ 明朝" w:hAnsi="ＭＳ 明朝" w:cs="Times New Roman" w:hint="eastAsia"/>
          <w:szCs w:val="21"/>
        </w:rPr>
        <w:t>。</w:t>
      </w:r>
    </w:p>
    <w:p w:rsidR="00A64632" w:rsidRPr="00A64632" w:rsidRDefault="00A64632" w:rsidP="006F3F3F">
      <w:pPr>
        <w:snapToGrid w:val="0"/>
        <w:ind w:leftChars="1" w:left="425" w:hangingChars="199" w:hanging="423"/>
        <w:jc w:val="left"/>
        <w:rPr>
          <w:rFonts w:eastAsia="ＭＳ 明朝" w:cs="Times New Roman"/>
          <w:color w:val="333333"/>
          <w:szCs w:val="21"/>
        </w:rPr>
      </w:pPr>
      <w:r w:rsidRPr="00A64632">
        <w:rPr>
          <w:rFonts w:ascii="Century" w:eastAsia="ＭＳ 明朝" w:hAnsi="Century" w:cs="Times New Roman" w:hint="eastAsia"/>
          <w:color w:val="333333"/>
          <w:szCs w:val="21"/>
        </w:rPr>
        <w:t>林宏偉「中国オンラインゲーム市場の分析」</w:t>
      </w:r>
      <w:r w:rsidRPr="00A64632">
        <w:rPr>
          <w:rFonts w:ascii="ＭＳ 明朝" w:eastAsia="ＭＳ 明朝" w:hAnsi="ＭＳ 明朝" w:cs="Times New Roman" w:hint="eastAsia"/>
          <w:color w:val="333333"/>
          <w:szCs w:val="21"/>
        </w:rPr>
        <w:t>『関西大学大学院　人間科学‐社会学・心理学研究‐』第</w:t>
      </w:r>
      <w:r w:rsidRPr="00A64632">
        <w:rPr>
          <w:rFonts w:eastAsia="ＭＳ 明朝" w:cs="Times New Roman"/>
          <w:color w:val="333333"/>
          <w:szCs w:val="21"/>
        </w:rPr>
        <w:t>79</w:t>
      </w:r>
      <w:r w:rsidRPr="00A64632">
        <w:rPr>
          <w:rFonts w:eastAsia="ＭＳ 明朝" w:cs="Times New Roman" w:hint="eastAsia"/>
          <w:color w:val="333333"/>
          <w:szCs w:val="21"/>
        </w:rPr>
        <w:t>号</w:t>
      </w:r>
      <w:r w:rsidR="000D7B95">
        <w:rPr>
          <w:rFonts w:eastAsia="ＭＳ 明朝" w:cs="Times New Roman" w:hint="eastAsia"/>
          <w:color w:val="333333"/>
          <w:szCs w:val="21"/>
        </w:rPr>
        <w:t>、</w:t>
      </w:r>
      <w:r w:rsidR="000D7B95">
        <w:rPr>
          <w:rFonts w:eastAsia="ＭＳ 明朝" w:cs="Times New Roman" w:hint="eastAsia"/>
          <w:color w:val="333333"/>
          <w:szCs w:val="21"/>
        </w:rPr>
        <w:t>pp.</w:t>
      </w:r>
      <w:r w:rsidRPr="00A64632">
        <w:rPr>
          <w:rFonts w:eastAsia="ＭＳ 明朝" w:cs="Times New Roman" w:hint="eastAsia"/>
          <w:color w:val="333333"/>
          <w:szCs w:val="21"/>
        </w:rPr>
        <w:t>55-68</w:t>
      </w:r>
      <w:r w:rsidR="006531F8">
        <w:rPr>
          <w:rFonts w:eastAsia="ＭＳ 明朝" w:cs="Times New Roman" w:hint="eastAsia"/>
          <w:color w:val="333333"/>
          <w:szCs w:val="21"/>
        </w:rPr>
        <w:t>。</w:t>
      </w:r>
    </w:p>
    <w:p w:rsidR="00A64632" w:rsidRPr="00A64632" w:rsidRDefault="00A64632" w:rsidP="006F3F3F">
      <w:pPr>
        <w:snapToGrid w:val="0"/>
        <w:ind w:leftChars="1" w:left="425" w:hangingChars="199" w:hanging="423"/>
        <w:jc w:val="left"/>
        <w:rPr>
          <w:rFonts w:eastAsia="ＭＳ 明朝" w:cs="Times New Roman"/>
          <w:color w:val="333333"/>
          <w:szCs w:val="21"/>
        </w:rPr>
      </w:pPr>
      <w:r w:rsidRPr="00A64632">
        <w:rPr>
          <w:rFonts w:ascii="Century" w:eastAsia="ＭＳ 明朝" w:hAnsi="Century" w:cs="Times New Roman" w:hint="eastAsia"/>
          <w:color w:val="333333"/>
          <w:szCs w:val="21"/>
        </w:rPr>
        <w:t>林宏偉「オンラインゲームにおけるユーザーのエクスタシーと課金システム」</w:t>
      </w:r>
      <w:r w:rsidRPr="00A64632">
        <w:rPr>
          <w:rFonts w:ascii="ＭＳ 明朝" w:eastAsia="ＭＳ 明朝" w:hAnsi="ＭＳ 明朝" w:cs="Times New Roman" w:hint="eastAsia"/>
          <w:color w:val="333333"/>
          <w:szCs w:val="21"/>
        </w:rPr>
        <w:t>『関西大学大学院　人間科学‐社会学・心理学研究‐』第</w:t>
      </w:r>
      <w:r w:rsidRPr="00A64632">
        <w:rPr>
          <w:rFonts w:eastAsia="ＭＳ 明朝" w:cs="Times New Roman" w:hint="eastAsia"/>
          <w:color w:val="333333"/>
          <w:szCs w:val="21"/>
        </w:rPr>
        <w:t>81</w:t>
      </w:r>
      <w:r w:rsidRPr="00A64632">
        <w:rPr>
          <w:rFonts w:eastAsia="ＭＳ 明朝" w:cs="Times New Roman" w:hint="eastAsia"/>
          <w:color w:val="333333"/>
          <w:szCs w:val="21"/>
        </w:rPr>
        <w:t>号</w:t>
      </w:r>
      <w:r w:rsidR="000D7B95">
        <w:rPr>
          <w:rFonts w:eastAsia="ＭＳ 明朝" w:cs="Times New Roman" w:hint="eastAsia"/>
          <w:color w:val="333333"/>
          <w:szCs w:val="21"/>
        </w:rPr>
        <w:t>、</w:t>
      </w:r>
      <w:r w:rsidR="000D7B95">
        <w:rPr>
          <w:rFonts w:eastAsia="ＭＳ 明朝" w:cs="Times New Roman" w:hint="eastAsia"/>
          <w:color w:val="333333"/>
          <w:szCs w:val="21"/>
        </w:rPr>
        <w:t>pp.</w:t>
      </w:r>
      <w:r w:rsidRPr="00A64632">
        <w:rPr>
          <w:rFonts w:eastAsia="ＭＳ 明朝" w:cs="Times New Roman" w:hint="eastAsia"/>
          <w:color w:val="333333"/>
          <w:szCs w:val="21"/>
        </w:rPr>
        <w:t>39-55</w:t>
      </w:r>
      <w:r w:rsidR="006531F8">
        <w:rPr>
          <w:rFonts w:eastAsia="ＭＳ 明朝" w:cs="Times New Roman" w:hint="eastAsia"/>
          <w:color w:val="333333"/>
          <w:szCs w:val="21"/>
        </w:rPr>
        <w:t>。</w:t>
      </w:r>
    </w:p>
    <w:p w:rsidR="00A64632" w:rsidRPr="00A64632" w:rsidRDefault="00A64632" w:rsidP="006F3F3F">
      <w:pPr>
        <w:snapToGrid w:val="0"/>
        <w:jc w:val="left"/>
        <w:rPr>
          <w:rFonts w:ascii="Century" w:eastAsia="ＭＳ 明朝" w:hAnsi="Century" w:cs="Times New Roman"/>
          <w:color w:val="333333"/>
          <w:szCs w:val="21"/>
        </w:rPr>
      </w:pPr>
    </w:p>
    <w:p w:rsidR="00A64632" w:rsidRPr="00A64632" w:rsidRDefault="00A64632" w:rsidP="006F3F3F">
      <w:pPr>
        <w:snapToGrid w:val="0"/>
        <w:jc w:val="left"/>
        <w:rPr>
          <w:rFonts w:ascii="Century" w:eastAsia="ＭＳ 明朝" w:hAnsi="Century" w:cs="Times New Roman"/>
          <w:color w:val="333333"/>
          <w:szCs w:val="21"/>
        </w:rPr>
      </w:pPr>
      <w:r w:rsidRPr="00A64632">
        <w:rPr>
          <w:rFonts w:ascii="Century" w:eastAsia="ＭＳ 明朝" w:hAnsi="Century" w:cs="Times New Roman" w:hint="eastAsia"/>
          <w:color w:val="333333"/>
          <w:szCs w:val="21"/>
        </w:rPr>
        <w:t>中国語文献</w:t>
      </w:r>
    </w:p>
    <w:p w:rsidR="00A64632" w:rsidRPr="00A64632" w:rsidRDefault="00A64632" w:rsidP="006F3F3F">
      <w:pPr>
        <w:snapToGrid w:val="0"/>
        <w:jc w:val="left"/>
        <w:rPr>
          <w:rFonts w:ascii="Century" w:eastAsia="ＭＳ 明朝" w:hAnsi="Century" w:cs="Times New Roman"/>
          <w:color w:val="333333"/>
          <w:szCs w:val="21"/>
        </w:rPr>
      </w:pPr>
    </w:p>
    <w:p w:rsidR="00A64632" w:rsidRPr="00A64632" w:rsidRDefault="00A64632" w:rsidP="006F3F3F">
      <w:pPr>
        <w:snapToGrid w:val="0"/>
        <w:ind w:leftChars="1" w:left="495" w:hangingChars="232" w:hanging="493"/>
        <w:jc w:val="left"/>
        <w:rPr>
          <w:rFonts w:ascii="Century" w:eastAsia="ＭＳ 明朝" w:hAnsi="Century" w:cs="Times New Roman"/>
          <w:color w:val="333333"/>
          <w:szCs w:val="21"/>
        </w:rPr>
      </w:pPr>
      <w:r w:rsidRPr="00A64632">
        <w:rPr>
          <w:rFonts w:ascii="Century" w:eastAsia="ＭＳ 明朝" w:hAnsi="Century" w:cs="Times New Roman" w:hint="eastAsia"/>
          <w:color w:val="333333"/>
          <w:szCs w:val="21"/>
        </w:rPr>
        <w:t>金国盛「</w:t>
      </w:r>
      <w:r w:rsidRPr="00A64632">
        <w:rPr>
          <w:rFonts w:ascii="PMingLiU" w:eastAsia="PMingLiU" w:hAnsi="PMingLiU" w:cs="PMingLiU" w:hint="eastAsia"/>
          <w:color w:val="333333"/>
          <w:szCs w:val="21"/>
        </w:rPr>
        <w:t>腾讯</w:t>
      </w:r>
      <w:r w:rsidR="006531F8">
        <w:rPr>
          <w:rFonts w:ascii="Century" w:eastAsia="ＭＳ 明朝" w:hAnsi="Century" w:cs="Times New Roman" w:hint="eastAsia"/>
          <w:color w:val="333333"/>
          <w:szCs w:val="21"/>
        </w:rPr>
        <w:t>：単純なチャットからオンライン生活まで」『当代経済』</w:t>
      </w:r>
      <w:r w:rsidRPr="00A64632">
        <w:rPr>
          <w:rFonts w:ascii="Century" w:eastAsia="ＭＳ 明朝" w:hAnsi="Century" w:cs="Times New Roman"/>
          <w:color w:val="333333"/>
          <w:szCs w:val="21"/>
        </w:rPr>
        <w:t>2010</w:t>
      </w:r>
      <w:r w:rsidR="006531F8">
        <w:rPr>
          <w:rFonts w:ascii="Century" w:eastAsia="ＭＳ 明朝" w:hAnsi="Century" w:cs="Times New Roman" w:hint="eastAsia"/>
          <w:color w:val="333333"/>
          <w:szCs w:val="21"/>
        </w:rPr>
        <w:t>年。</w:t>
      </w:r>
    </w:p>
    <w:p w:rsidR="00A64632" w:rsidRPr="00A64632" w:rsidRDefault="00A64632" w:rsidP="006F3F3F">
      <w:pPr>
        <w:snapToGrid w:val="0"/>
        <w:ind w:leftChars="1" w:left="495" w:hangingChars="232" w:hanging="493"/>
        <w:jc w:val="left"/>
        <w:rPr>
          <w:rFonts w:ascii="ＭＳ 明朝" w:eastAsia="PMingLiU" w:hAnsi="ＭＳ 明朝" w:cs="Arial"/>
          <w:bCs/>
          <w:szCs w:val="21"/>
          <w:lang w:eastAsia="zh-TW"/>
        </w:rPr>
      </w:pPr>
      <w:r w:rsidRPr="00A64632">
        <w:rPr>
          <w:rFonts w:ascii="ＭＳ 明朝" w:eastAsia="ＭＳ 明朝" w:hAnsi="ＭＳ 明朝" w:cs="Times New Roman" w:hint="eastAsia"/>
          <w:color w:val="333333"/>
          <w:szCs w:val="21"/>
          <w:lang w:eastAsia="zh-TW"/>
        </w:rPr>
        <w:t>蒋麗珊『陳天橋的人生哲学』</w:t>
      </w:r>
      <w:r w:rsidR="006531F8">
        <w:rPr>
          <w:rFonts w:ascii="ＭＳ 明朝" w:eastAsia="ＭＳ 明朝" w:hAnsi="ＭＳ 明朝" w:cs="Arial" w:hint="eastAsia"/>
          <w:bCs/>
          <w:szCs w:val="21"/>
          <w:lang w:eastAsia="zh-TW"/>
        </w:rPr>
        <w:t>浙江人民出版社、</w:t>
      </w:r>
      <w:r w:rsidR="006531F8" w:rsidRPr="006531F8">
        <w:rPr>
          <w:rFonts w:eastAsia="ＭＳ 明朝" w:cs="Arial"/>
          <w:bCs/>
          <w:szCs w:val="21"/>
          <w:lang w:eastAsia="zh-TW"/>
        </w:rPr>
        <w:t>2012</w:t>
      </w:r>
      <w:r w:rsidRPr="00A64632">
        <w:rPr>
          <w:rFonts w:ascii="ＭＳ 明朝" w:eastAsia="ＭＳ 明朝" w:hAnsi="ＭＳ 明朝" w:cs="Arial" w:hint="eastAsia"/>
          <w:bCs/>
          <w:szCs w:val="21"/>
          <w:lang w:eastAsia="zh-TW"/>
        </w:rPr>
        <w:t>年</w:t>
      </w:r>
      <w:r w:rsidRPr="00A64632">
        <w:rPr>
          <w:rFonts w:ascii="Century" w:eastAsia="ＭＳ 明朝" w:hAnsi="Century" w:cs="Arial"/>
          <w:bCs/>
          <w:szCs w:val="21"/>
          <w:lang w:eastAsia="zh-TW"/>
        </w:rPr>
        <w:t>1</w:t>
      </w:r>
      <w:r w:rsidRPr="00A64632">
        <w:rPr>
          <w:rFonts w:ascii="ＭＳ 明朝" w:eastAsia="ＭＳ 明朝" w:hAnsi="ＭＳ 明朝" w:cs="Arial" w:hint="eastAsia"/>
          <w:bCs/>
          <w:szCs w:val="21"/>
          <w:lang w:eastAsia="zh-TW"/>
        </w:rPr>
        <w:t>月</w:t>
      </w:r>
      <w:r w:rsidR="006531F8">
        <w:rPr>
          <w:rFonts w:ascii="ＭＳ 明朝" w:eastAsia="ＭＳ 明朝" w:hAnsi="ＭＳ 明朝" w:cs="Arial" w:hint="eastAsia"/>
          <w:bCs/>
          <w:szCs w:val="21"/>
          <w:lang w:eastAsia="zh-TW"/>
        </w:rPr>
        <w:t>。</w:t>
      </w:r>
    </w:p>
    <w:p w:rsidR="00A64632" w:rsidRPr="00A64632" w:rsidRDefault="00A64632" w:rsidP="006F3F3F">
      <w:pPr>
        <w:snapToGrid w:val="0"/>
        <w:ind w:leftChars="1" w:left="495" w:hangingChars="232" w:hanging="493"/>
        <w:jc w:val="left"/>
        <w:rPr>
          <w:rFonts w:ascii="Century" w:eastAsia="PMingLiU" w:hAnsi="Century" w:cs="Times New Roman"/>
          <w:color w:val="333333"/>
          <w:szCs w:val="21"/>
          <w:lang w:eastAsia="zh-TW"/>
        </w:rPr>
      </w:pPr>
      <w:r w:rsidRPr="00A64632">
        <w:rPr>
          <w:rFonts w:ascii="Century" w:eastAsia="ＭＳ 明朝" w:hAnsi="Century" w:cs="Times New Roman" w:hint="eastAsia"/>
          <w:color w:val="333333"/>
          <w:szCs w:val="21"/>
          <w:lang w:eastAsia="zh-TW"/>
        </w:rPr>
        <w:t>劉佳「</w:t>
      </w:r>
      <w:r w:rsidRPr="00A64632">
        <w:rPr>
          <w:rFonts w:ascii="PMingLiU" w:eastAsia="PMingLiU" w:hAnsi="PMingLiU" w:cs="PMingLiU" w:hint="eastAsia"/>
          <w:color w:val="333333"/>
          <w:szCs w:val="21"/>
          <w:lang w:eastAsia="zh-TW"/>
        </w:rPr>
        <w:t>腾讯</w:t>
      </w:r>
      <w:r w:rsidRPr="00A64632">
        <w:rPr>
          <w:rFonts w:ascii="Century" w:eastAsia="ＭＳ 明朝" w:hAnsi="Century" w:cs="Times New Roman" w:hint="eastAsia"/>
          <w:color w:val="333333"/>
          <w:szCs w:val="21"/>
          <w:lang w:eastAsia="zh-TW"/>
        </w:rPr>
        <w:t>突入</w:t>
      </w:r>
      <w:r w:rsidRPr="00A64632">
        <w:rPr>
          <w:rFonts w:ascii="Century" w:eastAsia="ＭＳ 明朝" w:hAnsi="Century" w:cs="Times New Roman"/>
          <w:color w:val="333333"/>
          <w:szCs w:val="21"/>
          <w:lang w:eastAsia="zh-TW"/>
        </w:rPr>
        <w:t>SNS</w:t>
      </w:r>
      <w:r w:rsidR="006531F8">
        <w:rPr>
          <w:rFonts w:ascii="Century" w:eastAsia="ＭＳ 明朝" w:hAnsi="Century" w:cs="Times New Roman" w:hint="eastAsia"/>
          <w:color w:val="333333"/>
          <w:szCs w:val="21"/>
          <w:lang w:eastAsia="zh-TW"/>
        </w:rPr>
        <w:t>」『互聯網週刊』</w:t>
      </w:r>
      <w:r w:rsidRPr="00A64632">
        <w:rPr>
          <w:rFonts w:ascii="Century" w:eastAsia="ＭＳ 明朝" w:hAnsi="Century" w:cs="Times New Roman"/>
          <w:color w:val="333333"/>
          <w:szCs w:val="21"/>
          <w:lang w:eastAsia="zh-TW"/>
        </w:rPr>
        <w:t>2009</w:t>
      </w:r>
      <w:r w:rsidRPr="00A64632">
        <w:rPr>
          <w:rFonts w:ascii="Century" w:eastAsia="ＭＳ 明朝" w:hAnsi="Century" w:cs="Times New Roman" w:hint="eastAsia"/>
          <w:color w:val="333333"/>
          <w:szCs w:val="21"/>
          <w:lang w:eastAsia="zh-TW"/>
        </w:rPr>
        <w:t>年</w:t>
      </w:r>
      <w:r w:rsidRPr="00A64632">
        <w:rPr>
          <w:rFonts w:ascii="Century" w:eastAsia="ＭＳ 明朝" w:hAnsi="Century" w:cs="Times New Roman"/>
          <w:color w:val="333333"/>
          <w:szCs w:val="21"/>
          <w:lang w:eastAsia="zh-TW"/>
        </w:rPr>
        <w:t>3</w:t>
      </w:r>
      <w:r w:rsidRPr="00A64632">
        <w:rPr>
          <w:rFonts w:ascii="Century" w:eastAsia="ＭＳ 明朝" w:hAnsi="Century" w:cs="Times New Roman" w:hint="eastAsia"/>
          <w:color w:val="333333"/>
          <w:szCs w:val="21"/>
          <w:lang w:eastAsia="zh-TW"/>
        </w:rPr>
        <w:t>月</w:t>
      </w:r>
      <w:r w:rsidR="006531F8">
        <w:rPr>
          <w:rFonts w:ascii="Century" w:eastAsia="ＭＳ 明朝" w:hAnsi="Century" w:cs="Times New Roman" w:hint="eastAsia"/>
          <w:color w:val="333333"/>
          <w:szCs w:val="21"/>
          <w:lang w:eastAsia="zh-TW"/>
        </w:rPr>
        <w:t>。</w:t>
      </w:r>
      <w:r w:rsidRPr="00A64632">
        <w:rPr>
          <w:rFonts w:ascii="Century" w:eastAsia="ＭＳ 明朝" w:hAnsi="Century" w:cs="Times New Roman" w:hint="eastAsia"/>
          <w:color w:val="333333"/>
          <w:szCs w:val="21"/>
          <w:lang w:eastAsia="zh-TW"/>
        </w:rPr>
        <w:t xml:space="preserve">　</w:t>
      </w:r>
    </w:p>
    <w:p w:rsidR="00A64632" w:rsidRPr="00A64632" w:rsidRDefault="006531F8" w:rsidP="006F3F3F">
      <w:pPr>
        <w:snapToGrid w:val="0"/>
        <w:ind w:leftChars="1" w:left="495" w:hangingChars="232" w:hanging="493"/>
        <w:jc w:val="left"/>
        <w:rPr>
          <w:rFonts w:ascii="Century" w:hAnsi="Century" w:cs="Times New Roman"/>
          <w:color w:val="333333"/>
          <w:szCs w:val="21"/>
          <w:lang w:eastAsia="zh-CN"/>
        </w:rPr>
      </w:pPr>
      <w:r>
        <w:rPr>
          <w:rFonts w:ascii="Century" w:eastAsia="ＭＳ 明朝" w:hAnsi="Century" w:cs="Times New Roman" w:hint="eastAsia"/>
          <w:color w:val="333333"/>
          <w:szCs w:val="21"/>
          <w:lang w:eastAsia="zh-CN"/>
        </w:rPr>
        <w:t>劉彦娣</w:t>
      </w:r>
      <w:r w:rsidR="00A64632" w:rsidRPr="00A64632">
        <w:rPr>
          <w:rFonts w:ascii="Century" w:eastAsia="ＭＳ 明朝" w:hAnsi="Century" w:cs="Times New Roman" w:hint="eastAsia"/>
          <w:color w:val="333333"/>
          <w:szCs w:val="21"/>
          <w:lang w:eastAsia="zh-CN"/>
        </w:rPr>
        <w:t>「</w:t>
      </w:r>
      <w:r w:rsidR="00A64632" w:rsidRPr="00A64632">
        <w:rPr>
          <w:rFonts w:ascii="PMingLiU" w:eastAsia="PMingLiU" w:hAnsi="PMingLiU" w:cs="PMingLiU" w:hint="eastAsia"/>
          <w:color w:val="333333"/>
          <w:szCs w:val="21"/>
          <w:lang w:eastAsia="zh-CN"/>
        </w:rPr>
        <w:t>腾讯</w:t>
      </w:r>
      <w:r w:rsidR="00A64632" w:rsidRPr="00A64632">
        <w:rPr>
          <w:rFonts w:ascii="Century" w:eastAsia="ＭＳ 明朝" w:hAnsi="Century" w:cs="Times New Roman"/>
          <w:color w:val="333333"/>
          <w:szCs w:val="21"/>
          <w:lang w:eastAsia="zh-CN"/>
        </w:rPr>
        <w:t>SNS</w:t>
      </w:r>
      <w:r>
        <w:rPr>
          <w:rFonts w:ascii="Century" w:eastAsia="ＭＳ 明朝" w:hAnsi="Century" w:cs="Times New Roman" w:hint="eastAsia"/>
          <w:color w:val="333333"/>
          <w:szCs w:val="21"/>
          <w:lang w:eastAsia="zh-CN"/>
        </w:rPr>
        <w:t>戦略研究」『当代経済』</w:t>
      </w:r>
      <w:r w:rsidR="00A64632" w:rsidRPr="00A64632">
        <w:rPr>
          <w:rFonts w:ascii="Century" w:eastAsia="ＭＳ 明朝" w:hAnsi="Century" w:cs="Times New Roman"/>
          <w:color w:val="333333"/>
          <w:szCs w:val="21"/>
          <w:lang w:eastAsia="zh-CN"/>
        </w:rPr>
        <w:t>201</w:t>
      </w:r>
      <w:r w:rsidR="00A64632" w:rsidRPr="00A64632">
        <w:rPr>
          <w:rFonts w:ascii="Century" w:eastAsia="ＭＳ 明朝" w:hAnsi="Century" w:cs="Times New Roman" w:hint="eastAsia"/>
          <w:color w:val="333333"/>
          <w:szCs w:val="21"/>
          <w:lang w:eastAsia="zh-CN"/>
        </w:rPr>
        <w:t>0</w:t>
      </w:r>
      <w:r w:rsidR="00A64632" w:rsidRPr="00A64632">
        <w:rPr>
          <w:rFonts w:ascii="Century" w:eastAsia="ＭＳ 明朝" w:hAnsi="Century" w:cs="Times New Roman" w:hint="eastAsia"/>
          <w:color w:val="333333"/>
          <w:szCs w:val="21"/>
          <w:lang w:eastAsia="zh-CN"/>
        </w:rPr>
        <w:t>年</w:t>
      </w:r>
      <w:r w:rsidR="00A64632" w:rsidRPr="00A64632">
        <w:rPr>
          <w:rFonts w:ascii="Century" w:eastAsia="ＭＳ 明朝" w:hAnsi="Century" w:cs="Times New Roman" w:hint="eastAsia"/>
          <w:color w:val="333333"/>
          <w:szCs w:val="21"/>
          <w:lang w:eastAsia="zh-CN"/>
        </w:rPr>
        <w:t>6</w:t>
      </w:r>
      <w:r w:rsidR="00A64632" w:rsidRPr="00A64632">
        <w:rPr>
          <w:rFonts w:ascii="Century" w:eastAsia="ＭＳ 明朝" w:hAnsi="Century" w:cs="Times New Roman" w:hint="eastAsia"/>
          <w:color w:val="333333"/>
          <w:szCs w:val="21"/>
          <w:lang w:eastAsia="zh-CN"/>
        </w:rPr>
        <w:t>月</w:t>
      </w:r>
      <w:r>
        <w:rPr>
          <w:rFonts w:ascii="Century" w:eastAsia="ＭＳ 明朝" w:hAnsi="Century" w:cs="Times New Roman" w:hint="eastAsia"/>
          <w:color w:val="333333"/>
          <w:szCs w:val="21"/>
          <w:lang w:eastAsia="zh-CN"/>
        </w:rPr>
        <w:t>。</w:t>
      </w:r>
    </w:p>
    <w:p w:rsidR="00A64632" w:rsidRPr="00A64632" w:rsidRDefault="00A64632" w:rsidP="00A64632">
      <w:pPr>
        <w:snapToGrid w:val="0"/>
        <w:jc w:val="left"/>
        <w:rPr>
          <w:rFonts w:ascii="Century" w:eastAsia="ＭＳ 明朝" w:hAnsi="Century" w:cs="Times New Roman"/>
          <w:color w:val="333333"/>
          <w:szCs w:val="21"/>
          <w:lang w:eastAsia="zh-CN"/>
        </w:rPr>
      </w:pPr>
    </w:p>
    <w:p w:rsidR="00A64632" w:rsidRPr="00A64632" w:rsidRDefault="00A64632" w:rsidP="00A64632">
      <w:pPr>
        <w:autoSpaceDE w:val="0"/>
        <w:autoSpaceDN w:val="0"/>
        <w:adjustRightInd w:val="0"/>
        <w:rPr>
          <w:rFonts w:ascii="Century" w:eastAsia="ＭＳ 明朝" w:hAnsi="Century" w:cs="ＭＳ 明朝"/>
          <w:kern w:val="0"/>
          <w:szCs w:val="21"/>
          <w:lang w:eastAsia="zh-CN"/>
        </w:rPr>
      </w:pPr>
    </w:p>
    <w:p w:rsidR="00A64632" w:rsidRPr="00E75458" w:rsidRDefault="00A64632" w:rsidP="00A64632">
      <w:pPr>
        <w:autoSpaceDE w:val="0"/>
        <w:autoSpaceDN w:val="0"/>
        <w:adjustRightInd w:val="0"/>
        <w:rPr>
          <w:rFonts w:ascii="Century" w:eastAsia="ＭＳ 明朝" w:hAnsi="Century" w:cs="ＭＳ 明朝"/>
          <w:kern w:val="0"/>
          <w:szCs w:val="21"/>
          <w:lang w:eastAsia="zh-CN"/>
        </w:rPr>
      </w:pPr>
    </w:p>
    <w:sectPr w:rsidR="00A64632" w:rsidRPr="00E75458" w:rsidSect="00467DB5">
      <w:pgSz w:w="11906" w:h="16838"/>
      <w:pgMar w:top="1985" w:right="1701" w:bottom="1701" w:left="1701" w:header="851" w:footer="992" w:gutter="0"/>
      <w:cols w:space="425"/>
      <w:docGrid w:type="linesAndChars" w:linePitch="43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DF" w:rsidRDefault="00BA3CDF" w:rsidP="00703C69">
      <w:r>
        <w:separator/>
      </w:r>
    </w:p>
  </w:endnote>
  <w:endnote w:type="continuationSeparator" w:id="0">
    <w:p w:rsidR="00BA3CDF" w:rsidRDefault="00BA3CDF" w:rsidP="0070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DF" w:rsidRDefault="00BA3CDF" w:rsidP="00703C69">
      <w:r>
        <w:separator/>
      </w:r>
    </w:p>
  </w:footnote>
  <w:footnote w:type="continuationSeparator" w:id="0">
    <w:p w:rsidR="00BA3CDF" w:rsidRDefault="00BA3CDF" w:rsidP="0070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B44BC"/>
    <w:multiLevelType w:val="hybridMultilevel"/>
    <w:tmpl w:val="548E1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69"/>
    <w:rsid w:val="00010A6A"/>
    <w:rsid w:val="000D7B95"/>
    <w:rsid w:val="004540CD"/>
    <w:rsid w:val="00467DB5"/>
    <w:rsid w:val="0048235F"/>
    <w:rsid w:val="006531F8"/>
    <w:rsid w:val="006F3F3F"/>
    <w:rsid w:val="00703C69"/>
    <w:rsid w:val="008E4959"/>
    <w:rsid w:val="009A1886"/>
    <w:rsid w:val="009E3942"/>
    <w:rsid w:val="00A64632"/>
    <w:rsid w:val="00BA3CDF"/>
    <w:rsid w:val="00E43C08"/>
    <w:rsid w:val="00E75458"/>
    <w:rsid w:val="00FA1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3C69"/>
    <w:pPr>
      <w:snapToGrid w:val="0"/>
      <w:jc w:val="left"/>
    </w:pPr>
    <w:rPr>
      <w:rFonts w:ascii="Century" w:eastAsia="ＭＳ 明朝" w:hAnsi="Century" w:cs="Times New Roman"/>
    </w:rPr>
  </w:style>
  <w:style w:type="character" w:customStyle="1" w:styleId="a4">
    <w:name w:val="脚注文字列 (文字)"/>
    <w:basedOn w:val="a0"/>
    <w:link w:val="a3"/>
    <w:uiPriority w:val="99"/>
    <w:semiHidden/>
    <w:rsid w:val="00703C69"/>
    <w:rPr>
      <w:rFonts w:ascii="Century" w:eastAsia="ＭＳ 明朝" w:hAnsi="Century" w:cs="Times New Roman"/>
    </w:rPr>
  </w:style>
  <w:style w:type="character" w:styleId="a5">
    <w:name w:val="footnote reference"/>
    <w:uiPriority w:val="99"/>
    <w:semiHidden/>
    <w:unhideWhenUsed/>
    <w:rsid w:val="00703C69"/>
    <w:rPr>
      <w:rFonts w:cs="Times New Roman"/>
      <w:vertAlign w:val="superscript"/>
    </w:rPr>
  </w:style>
  <w:style w:type="paragraph" w:styleId="a6">
    <w:name w:val="header"/>
    <w:basedOn w:val="a"/>
    <w:link w:val="a7"/>
    <w:uiPriority w:val="99"/>
    <w:unhideWhenUsed/>
    <w:rsid w:val="004540CD"/>
    <w:pPr>
      <w:tabs>
        <w:tab w:val="center" w:pos="4252"/>
        <w:tab w:val="right" w:pos="8504"/>
      </w:tabs>
      <w:snapToGrid w:val="0"/>
    </w:pPr>
  </w:style>
  <w:style w:type="character" w:customStyle="1" w:styleId="a7">
    <w:name w:val="ヘッダー (文字)"/>
    <w:basedOn w:val="a0"/>
    <w:link w:val="a6"/>
    <w:uiPriority w:val="99"/>
    <w:rsid w:val="004540CD"/>
  </w:style>
  <w:style w:type="paragraph" w:styleId="a8">
    <w:name w:val="footer"/>
    <w:basedOn w:val="a"/>
    <w:link w:val="a9"/>
    <w:uiPriority w:val="99"/>
    <w:unhideWhenUsed/>
    <w:rsid w:val="004540CD"/>
    <w:pPr>
      <w:tabs>
        <w:tab w:val="center" w:pos="4252"/>
        <w:tab w:val="right" w:pos="8504"/>
      </w:tabs>
      <w:snapToGrid w:val="0"/>
    </w:pPr>
  </w:style>
  <w:style w:type="character" w:customStyle="1" w:styleId="a9">
    <w:name w:val="フッター (文字)"/>
    <w:basedOn w:val="a0"/>
    <w:link w:val="a8"/>
    <w:uiPriority w:val="99"/>
    <w:rsid w:val="00454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03C69"/>
    <w:pPr>
      <w:snapToGrid w:val="0"/>
      <w:jc w:val="left"/>
    </w:pPr>
    <w:rPr>
      <w:rFonts w:ascii="Century" w:eastAsia="ＭＳ 明朝" w:hAnsi="Century" w:cs="Times New Roman"/>
    </w:rPr>
  </w:style>
  <w:style w:type="character" w:customStyle="1" w:styleId="a4">
    <w:name w:val="脚注文字列 (文字)"/>
    <w:basedOn w:val="a0"/>
    <w:link w:val="a3"/>
    <w:uiPriority w:val="99"/>
    <w:semiHidden/>
    <w:rsid w:val="00703C69"/>
    <w:rPr>
      <w:rFonts w:ascii="Century" w:eastAsia="ＭＳ 明朝" w:hAnsi="Century" w:cs="Times New Roman"/>
    </w:rPr>
  </w:style>
  <w:style w:type="character" w:styleId="a5">
    <w:name w:val="footnote reference"/>
    <w:uiPriority w:val="99"/>
    <w:semiHidden/>
    <w:unhideWhenUsed/>
    <w:rsid w:val="00703C69"/>
    <w:rPr>
      <w:rFonts w:cs="Times New Roman"/>
      <w:vertAlign w:val="superscript"/>
    </w:rPr>
  </w:style>
  <w:style w:type="paragraph" w:styleId="a6">
    <w:name w:val="header"/>
    <w:basedOn w:val="a"/>
    <w:link w:val="a7"/>
    <w:uiPriority w:val="99"/>
    <w:unhideWhenUsed/>
    <w:rsid w:val="004540CD"/>
    <w:pPr>
      <w:tabs>
        <w:tab w:val="center" w:pos="4252"/>
        <w:tab w:val="right" w:pos="8504"/>
      </w:tabs>
      <w:snapToGrid w:val="0"/>
    </w:pPr>
  </w:style>
  <w:style w:type="character" w:customStyle="1" w:styleId="a7">
    <w:name w:val="ヘッダー (文字)"/>
    <w:basedOn w:val="a0"/>
    <w:link w:val="a6"/>
    <w:uiPriority w:val="99"/>
    <w:rsid w:val="004540CD"/>
  </w:style>
  <w:style w:type="paragraph" w:styleId="a8">
    <w:name w:val="footer"/>
    <w:basedOn w:val="a"/>
    <w:link w:val="a9"/>
    <w:uiPriority w:val="99"/>
    <w:unhideWhenUsed/>
    <w:rsid w:val="004540CD"/>
    <w:pPr>
      <w:tabs>
        <w:tab w:val="center" w:pos="4252"/>
        <w:tab w:val="right" w:pos="8504"/>
      </w:tabs>
      <w:snapToGrid w:val="0"/>
    </w:pPr>
  </w:style>
  <w:style w:type="character" w:customStyle="1" w:styleId="a9">
    <w:name w:val="フッター (文字)"/>
    <w:basedOn w:val="a0"/>
    <w:link w:val="a8"/>
    <w:uiPriority w:val="99"/>
    <w:rsid w:val="0045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3CF2-389F-4735-8FB8-243FF9A5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kansai-V</cp:lastModifiedBy>
  <cp:revision>2</cp:revision>
  <dcterms:created xsi:type="dcterms:W3CDTF">2016-02-25T05:41:00Z</dcterms:created>
  <dcterms:modified xsi:type="dcterms:W3CDTF">2016-02-25T05:41:00Z</dcterms:modified>
</cp:coreProperties>
</file>